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77" w:rsidRPr="00EC5D14" w:rsidRDefault="00BE6077" w:rsidP="00BE6077">
      <w:pPr>
        <w:spacing w:line="360" w:lineRule="auto"/>
      </w:pPr>
      <w:r w:rsidRPr="00F82911">
        <w:t>УДК 616.12-008.</w:t>
      </w:r>
      <w:r>
        <w:t>46-036.12:616.124.2:616.45</w:t>
      </w:r>
    </w:p>
    <w:p w:rsidR="00DA1E15" w:rsidRPr="00A6090E" w:rsidRDefault="00DA1E15" w:rsidP="00366BAA">
      <w:pPr>
        <w:spacing w:line="360" w:lineRule="auto"/>
      </w:pPr>
      <w:r w:rsidRPr="00A6090E">
        <w:t>14.01.</w:t>
      </w:r>
      <w:r w:rsidR="00366BAA" w:rsidRPr="00A6090E">
        <w:t>05</w:t>
      </w:r>
      <w:r w:rsidRPr="00A6090E">
        <w:t xml:space="preserve"> Кардиология</w:t>
      </w:r>
    </w:p>
    <w:p w:rsidR="0036153C" w:rsidRPr="00A6090E" w:rsidRDefault="0036153C" w:rsidP="0036153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6090E">
        <w:rPr>
          <w:b/>
        </w:rPr>
        <w:t xml:space="preserve">Прогностическое значение вторичного </w:t>
      </w:r>
      <w:proofErr w:type="spellStart"/>
      <w:r w:rsidRPr="00A6090E">
        <w:rPr>
          <w:b/>
        </w:rPr>
        <w:t>гиперальдостеронизма</w:t>
      </w:r>
      <w:proofErr w:type="spellEnd"/>
      <w:r w:rsidRPr="00A6090E">
        <w:rPr>
          <w:b/>
        </w:rPr>
        <w:t xml:space="preserve"> у больных хронической сердечной недостаточностью с сохраненной фракцией выброса левого желудочка</w:t>
      </w:r>
    </w:p>
    <w:p w:rsidR="00B73C85" w:rsidRPr="00A6090E" w:rsidRDefault="00B73C85" w:rsidP="00B73C85">
      <w:pPr>
        <w:spacing w:line="360" w:lineRule="auto"/>
        <w:jc w:val="both"/>
      </w:pPr>
      <w:r w:rsidRPr="00A6090E">
        <w:rPr>
          <w:b/>
        </w:rPr>
        <w:t xml:space="preserve">Цель </w:t>
      </w:r>
      <w:r w:rsidRPr="00A6090E">
        <w:t xml:space="preserve">– изучить прогностическое значение вторичного </w:t>
      </w:r>
      <w:proofErr w:type="spellStart"/>
      <w:r w:rsidRPr="00A6090E">
        <w:t>гиперальдостеронизма</w:t>
      </w:r>
      <w:proofErr w:type="spellEnd"/>
      <w:r w:rsidRPr="00A6090E">
        <w:t xml:space="preserve"> у больных хронической сердечной недостаточностью (ХСН) и сохраненной фракцией выброса (</w:t>
      </w:r>
      <w:proofErr w:type="spellStart"/>
      <w:r w:rsidRPr="00A6090E">
        <w:t>сФВ</w:t>
      </w:r>
      <w:proofErr w:type="spellEnd"/>
      <w:r w:rsidRPr="00A6090E">
        <w:t>)</w:t>
      </w:r>
      <w:r w:rsidRPr="00A6090E">
        <w:rPr>
          <w:lang w:val="uk-UA"/>
        </w:rPr>
        <w:t>.</w:t>
      </w:r>
      <w:r w:rsidRPr="00A6090E">
        <w:t xml:space="preserve"> </w:t>
      </w:r>
    </w:p>
    <w:p w:rsidR="00B73C85" w:rsidRPr="00A6090E" w:rsidRDefault="00B73C85" w:rsidP="00B73C85">
      <w:pPr>
        <w:spacing w:line="360" w:lineRule="auto"/>
        <w:jc w:val="both"/>
        <w:rPr>
          <w:bCs/>
        </w:rPr>
      </w:pPr>
      <w:r w:rsidRPr="00A6090E">
        <w:rPr>
          <w:b/>
        </w:rPr>
        <w:t>Материал и методы</w:t>
      </w:r>
      <w:r w:rsidRPr="00A6090E">
        <w:t xml:space="preserve">. Проведено </w:t>
      </w:r>
      <w:proofErr w:type="spellStart"/>
      <w:r w:rsidRPr="00A6090E">
        <w:t>проспективное</w:t>
      </w:r>
      <w:proofErr w:type="spellEnd"/>
      <w:r w:rsidRPr="00A6090E">
        <w:t xml:space="preserve"> </w:t>
      </w:r>
      <w:proofErr w:type="spellStart"/>
      <w:r w:rsidRPr="00A6090E">
        <w:t>когортное</w:t>
      </w:r>
      <w:proofErr w:type="spellEnd"/>
      <w:r w:rsidRPr="00A6090E">
        <w:t xml:space="preserve"> исследование с участием 158 пациентов (58 мужчин и 100 женщин, средний возраст 62.3±7,4 лет) с </w:t>
      </w:r>
      <w:proofErr w:type="spellStart"/>
      <w:r w:rsidRPr="00A6090E">
        <w:t>ХСНсФВ</w:t>
      </w:r>
      <w:proofErr w:type="spellEnd"/>
      <w:r w:rsidRPr="00A6090E">
        <w:t xml:space="preserve"> (&gt; </w:t>
      </w:r>
      <w:r w:rsidRPr="00A6090E">
        <w:rPr>
          <w:rStyle w:val="hps"/>
        </w:rPr>
        <w:t xml:space="preserve">50 </w:t>
      </w:r>
      <w:r w:rsidRPr="00A6090E">
        <w:t xml:space="preserve">%) левого желудочка, протекающей на фоне ишемической болезни сердца и артериальной гипертензии. Все пациенты были госпитализированы по поводу декомпенсации ХСН в течение последних 12 месяцев и имели </w:t>
      </w:r>
      <w:proofErr w:type="spellStart"/>
      <w:r w:rsidRPr="00A6090E">
        <w:t>диастолическую</w:t>
      </w:r>
      <w:proofErr w:type="spellEnd"/>
      <w:r w:rsidRPr="00A6090E">
        <w:t xml:space="preserve"> дисфункция ЛЖ в сочетании с повышенным уровнем </w:t>
      </w:r>
      <w:proofErr w:type="spellStart"/>
      <w:r w:rsidRPr="00A6090E">
        <w:t>NT-proBNP</w:t>
      </w:r>
      <w:proofErr w:type="spellEnd"/>
      <w:r w:rsidRPr="00A6090E">
        <w:t xml:space="preserve"> крови. </w:t>
      </w:r>
      <w:proofErr w:type="spellStart"/>
      <w:r w:rsidRPr="00A6090E">
        <w:rPr>
          <w:lang w:val="uk-UA"/>
        </w:rPr>
        <w:t>Исходно</w:t>
      </w:r>
      <w:proofErr w:type="spellEnd"/>
      <w:r w:rsidRPr="00A6090E">
        <w:rPr>
          <w:lang w:val="uk-UA"/>
        </w:rPr>
        <w:t xml:space="preserve"> у </w:t>
      </w:r>
      <w:proofErr w:type="spellStart"/>
      <w:r w:rsidRPr="00A6090E">
        <w:rPr>
          <w:lang w:val="uk-UA"/>
        </w:rPr>
        <w:t>всех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пациентов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определяли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уровень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альдостерона</w:t>
      </w:r>
      <w:proofErr w:type="spellEnd"/>
      <w:r w:rsidRPr="00A6090E">
        <w:rPr>
          <w:lang w:val="uk-UA"/>
        </w:rPr>
        <w:t xml:space="preserve"> крови. </w:t>
      </w:r>
      <w:proofErr w:type="spellStart"/>
      <w:r w:rsidRPr="00A6090E">
        <w:rPr>
          <w:bCs/>
          <w:lang w:val="uk-UA"/>
        </w:rPr>
        <w:t>Гиперальдостеронемия</w:t>
      </w:r>
      <w:proofErr w:type="spellEnd"/>
      <w:r w:rsidRPr="00A6090E">
        <w:rPr>
          <w:bCs/>
          <w:lang w:val="uk-UA"/>
        </w:rPr>
        <w:t xml:space="preserve"> </w:t>
      </w:r>
      <w:proofErr w:type="spellStart"/>
      <w:r w:rsidRPr="00A6090E">
        <w:rPr>
          <w:bCs/>
          <w:lang w:val="uk-UA"/>
        </w:rPr>
        <w:t>диагностировалась</w:t>
      </w:r>
      <w:proofErr w:type="spellEnd"/>
      <w:r w:rsidRPr="00A6090E">
        <w:rPr>
          <w:bCs/>
          <w:lang w:val="uk-UA"/>
        </w:rPr>
        <w:t xml:space="preserve"> при </w:t>
      </w:r>
      <w:proofErr w:type="spellStart"/>
      <w:r w:rsidRPr="00A6090E">
        <w:rPr>
          <w:bCs/>
          <w:lang w:val="uk-UA"/>
        </w:rPr>
        <w:t>плазменном</w:t>
      </w:r>
      <w:proofErr w:type="spellEnd"/>
      <w:r w:rsidRPr="00A6090E">
        <w:rPr>
          <w:bCs/>
          <w:lang w:val="uk-UA"/>
        </w:rPr>
        <w:t xml:space="preserve"> </w:t>
      </w:r>
      <w:proofErr w:type="spellStart"/>
      <w:r w:rsidRPr="00A6090E">
        <w:rPr>
          <w:bCs/>
          <w:lang w:val="uk-UA"/>
        </w:rPr>
        <w:t>уровне</w:t>
      </w:r>
      <w:proofErr w:type="spellEnd"/>
      <w:r w:rsidRPr="00A6090E">
        <w:rPr>
          <w:bCs/>
          <w:lang w:val="uk-UA"/>
        </w:rPr>
        <w:t xml:space="preserve"> </w:t>
      </w:r>
      <w:proofErr w:type="spellStart"/>
      <w:r w:rsidRPr="00A6090E">
        <w:rPr>
          <w:bCs/>
          <w:lang w:val="uk-UA"/>
        </w:rPr>
        <w:t>гормона</w:t>
      </w:r>
      <w:proofErr w:type="spellEnd"/>
      <w:r w:rsidRPr="00A6090E">
        <w:rPr>
          <w:bCs/>
          <w:lang w:val="uk-UA"/>
        </w:rPr>
        <w:t xml:space="preserve">, </w:t>
      </w:r>
      <w:proofErr w:type="spellStart"/>
      <w:r w:rsidRPr="00A6090E">
        <w:rPr>
          <w:bCs/>
          <w:lang w:val="uk-UA"/>
        </w:rPr>
        <w:t>превышающем</w:t>
      </w:r>
      <w:proofErr w:type="spellEnd"/>
      <w:r w:rsidRPr="00A6090E">
        <w:rPr>
          <w:bCs/>
          <w:lang w:val="uk-UA"/>
        </w:rPr>
        <w:t xml:space="preserve"> </w:t>
      </w:r>
      <w:proofErr w:type="spellStart"/>
      <w:r w:rsidRPr="00A6090E">
        <w:rPr>
          <w:bCs/>
          <w:lang w:val="uk-UA"/>
        </w:rPr>
        <w:t>верхнюю</w:t>
      </w:r>
      <w:proofErr w:type="spellEnd"/>
      <w:r w:rsidRPr="00A6090E">
        <w:rPr>
          <w:bCs/>
          <w:lang w:val="uk-UA"/>
        </w:rPr>
        <w:t xml:space="preserve"> </w:t>
      </w:r>
      <w:proofErr w:type="spellStart"/>
      <w:r w:rsidRPr="00A6090E">
        <w:rPr>
          <w:bCs/>
          <w:lang w:val="uk-UA"/>
        </w:rPr>
        <w:t>границу</w:t>
      </w:r>
      <w:proofErr w:type="spellEnd"/>
      <w:r w:rsidRPr="00A6090E">
        <w:rPr>
          <w:bCs/>
          <w:lang w:val="uk-UA"/>
        </w:rPr>
        <w:t xml:space="preserve"> референтного </w:t>
      </w:r>
      <w:proofErr w:type="spellStart"/>
      <w:r w:rsidRPr="00A6090E">
        <w:rPr>
          <w:bCs/>
          <w:lang w:val="uk-UA"/>
        </w:rPr>
        <w:t>интервала</w:t>
      </w:r>
      <w:proofErr w:type="spellEnd"/>
      <w:r w:rsidRPr="00A6090E">
        <w:rPr>
          <w:bCs/>
          <w:lang w:val="uk-UA"/>
        </w:rPr>
        <w:t xml:space="preserve"> </w:t>
      </w:r>
      <w:r w:rsidRPr="00A6090E">
        <w:t xml:space="preserve">(&gt; 160 </w:t>
      </w:r>
      <w:proofErr w:type="spellStart"/>
      <w:r w:rsidRPr="00A6090E">
        <w:t>пг</w:t>
      </w:r>
      <w:proofErr w:type="spellEnd"/>
      <w:r w:rsidRPr="00A6090E">
        <w:t>/мл).</w:t>
      </w:r>
      <w:r w:rsidRPr="00A6090E">
        <w:rPr>
          <w:bCs/>
          <w:lang w:val="uk-UA"/>
        </w:rPr>
        <w:t xml:space="preserve"> П</w:t>
      </w:r>
      <w:proofErr w:type="spellStart"/>
      <w:r w:rsidRPr="00A6090E">
        <w:t>ервичной</w:t>
      </w:r>
      <w:proofErr w:type="spellEnd"/>
      <w:r w:rsidRPr="00A6090E">
        <w:t xml:space="preserve"> конечной точкой исследования </w:t>
      </w:r>
      <w:r w:rsidRPr="00A6090E">
        <w:rPr>
          <w:shd w:val="clear" w:color="auto" w:fill="FFFFFF"/>
        </w:rPr>
        <w:t xml:space="preserve">являлась смерть от любых причин. Вторичными конечными точками исследования считали госпитализацию в связи с декомпенсацией ХСН, </w:t>
      </w:r>
      <w:proofErr w:type="spellStart"/>
      <w:proofErr w:type="gramStart"/>
      <w:r w:rsidRPr="00A6090E">
        <w:rPr>
          <w:shd w:val="clear" w:color="auto" w:fill="FFFFFF"/>
        </w:rPr>
        <w:t>сердечно-сосудистую</w:t>
      </w:r>
      <w:proofErr w:type="spellEnd"/>
      <w:proofErr w:type="gramEnd"/>
      <w:r w:rsidRPr="00A6090E">
        <w:rPr>
          <w:shd w:val="clear" w:color="auto" w:fill="FFFFFF"/>
        </w:rPr>
        <w:t xml:space="preserve"> смерть и смерть, не связанную с </w:t>
      </w:r>
      <w:proofErr w:type="spellStart"/>
      <w:r w:rsidRPr="00A6090E">
        <w:rPr>
          <w:shd w:val="clear" w:color="auto" w:fill="FFFFFF"/>
        </w:rPr>
        <w:t>сердечно-сосудистыми</w:t>
      </w:r>
      <w:proofErr w:type="spellEnd"/>
      <w:r w:rsidRPr="00A6090E">
        <w:rPr>
          <w:shd w:val="clear" w:color="auto" w:fill="FFFFFF"/>
        </w:rPr>
        <w:t xml:space="preserve"> заболеваниями.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6090E">
        <w:rPr>
          <w:b/>
        </w:rPr>
        <w:t xml:space="preserve">Результаты. </w:t>
      </w:r>
      <w:r w:rsidRPr="00A6090E">
        <w:t xml:space="preserve">При исходном лабораторном исследовании </w:t>
      </w:r>
      <w:proofErr w:type="spellStart"/>
      <w:r w:rsidRPr="00A6090E">
        <w:t>гиперальдостеронемия</w:t>
      </w:r>
      <w:proofErr w:type="spellEnd"/>
      <w:r w:rsidRPr="00A6090E">
        <w:t xml:space="preserve"> была выявлена у 59 из 158 пациентов (37,3 %, 95 % ДИ: 30,0-45,0 %). Лица с </w:t>
      </w:r>
      <w:proofErr w:type="spellStart"/>
      <w:r w:rsidRPr="00A6090E">
        <w:t>гиперальдостеронемией</w:t>
      </w:r>
      <w:proofErr w:type="spellEnd"/>
      <w:r w:rsidRPr="00A6090E">
        <w:t xml:space="preserve"> были моложе, чаще страдали </w:t>
      </w:r>
      <w:proofErr w:type="spellStart"/>
      <w:r w:rsidRPr="00A6090E">
        <w:t>коморбидной</w:t>
      </w:r>
      <w:proofErr w:type="spellEnd"/>
      <w:r w:rsidRPr="00A6090E">
        <w:t xml:space="preserve"> патологией, имели более высокий функциональный класс ХСН и уровень </w:t>
      </w:r>
      <w:r w:rsidRPr="00A6090E">
        <w:rPr>
          <w:lang w:val="en-US"/>
        </w:rPr>
        <w:t>NT</w:t>
      </w:r>
      <w:r w:rsidRPr="00A6090E">
        <w:t>-</w:t>
      </w:r>
      <w:proofErr w:type="spellStart"/>
      <w:r w:rsidRPr="00A6090E">
        <w:rPr>
          <w:lang w:val="en-US"/>
        </w:rPr>
        <w:t>proBNP</w:t>
      </w:r>
      <w:proofErr w:type="spellEnd"/>
      <w:r w:rsidRPr="00A6090E">
        <w:t xml:space="preserve"> крови по сравнению с пациентами с нормальным уровнем альдостерона (все </w:t>
      </w:r>
      <w:proofErr w:type="spellStart"/>
      <w:r w:rsidRPr="00A6090E">
        <w:t>p</w:t>
      </w:r>
      <w:proofErr w:type="spellEnd"/>
      <w:r w:rsidRPr="00A6090E">
        <w:t>&lt;0,05)</w:t>
      </w:r>
      <w:r w:rsidRPr="00A6090E">
        <w:rPr>
          <w:lang w:val="uk-UA" w:eastAsia="ar-SA"/>
        </w:rPr>
        <w:t xml:space="preserve">. </w:t>
      </w:r>
      <w:r w:rsidRPr="00A6090E">
        <w:t xml:space="preserve">В течение в среднем 32 месяцев (28-38 месяцев) наблюдения умерло 50 (37,6 %) пациентов. </w:t>
      </w:r>
      <w:proofErr w:type="spellStart"/>
      <w:proofErr w:type="gramStart"/>
      <w:r w:rsidRPr="00A6090E">
        <w:t>Сердечно-сосудистая</w:t>
      </w:r>
      <w:proofErr w:type="spellEnd"/>
      <w:proofErr w:type="gramEnd"/>
      <w:r w:rsidRPr="00A6090E">
        <w:t xml:space="preserve"> смерть была зарегистрирована у 32 (20,3 %) больных, смерть по другим причинам наступила в 18 (11,4 %) случаев. В связи с ухудшением ХСН были госпитализированы 65 (41,1%) пациентов. П</w:t>
      </w:r>
      <w:r w:rsidRPr="00A6090E">
        <w:rPr>
          <w:lang w:val="uk-UA"/>
        </w:rPr>
        <w:t xml:space="preserve">осле поправки на </w:t>
      </w:r>
      <w:proofErr w:type="spellStart"/>
      <w:r w:rsidRPr="00A6090E">
        <w:rPr>
          <w:lang w:val="uk-UA"/>
        </w:rPr>
        <w:t>возраст</w:t>
      </w:r>
      <w:proofErr w:type="spellEnd"/>
      <w:r w:rsidRPr="00A6090E">
        <w:rPr>
          <w:lang w:val="uk-UA"/>
        </w:rPr>
        <w:t xml:space="preserve">, </w:t>
      </w:r>
      <w:proofErr w:type="spellStart"/>
      <w:r w:rsidRPr="00A6090E">
        <w:rPr>
          <w:lang w:val="uk-UA"/>
        </w:rPr>
        <w:t>коморбидные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состояния</w:t>
      </w:r>
      <w:proofErr w:type="spellEnd"/>
      <w:r w:rsidRPr="00A6090E">
        <w:rPr>
          <w:lang w:val="uk-UA"/>
        </w:rPr>
        <w:t xml:space="preserve">, </w:t>
      </w:r>
      <w:r w:rsidRPr="00A6090E">
        <w:rPr>
          <w:bCs/>
        </w:rPr>
        <w:t xml:space="preserve">принимаемую терапию, </w:t>
      </w:r>
      <w:proofErr w:type="spellStart"/>
      <w:r w:rsidRPr="00A6090E">
        <w:rPr>
          <w:bCs/>
        </w:rPr>
        <w:t>эхокардиографические</w:t>
      </w:r>
      <w:proofErr w:type="spellEnd"/>
      <w:r w:rsidRPr="00A6090E">
        <w:rPr>
          <w:bCs/>
        </w:rPr>
        <w:t xml:space="preserve"> параметры </w:t>
      </w:r>
      <w:r w:rsidRPr="00A6090E">
        <w:rPr>
          <w:lang w:val="uk-UA"/>
        </w:rPr>
        <w:t xml:space="preserve">и </w:t>
      </w:r>
      <w:proofErr w:type="spellStart"/>
      <w:r w:rsidRPr="00A6090E">
        <w:rPr>
          <w:lang w:val="uk-UA"/>
        </w:rPr>
        <w:t>уровень</w:t>
      </w:r>
      <w:proofErr w:type="spellEnd"/>
      <w:r w:rsidRPr="00A6090E">
        <w:rPr>
          <w:lang w:val="uk-UA"/>
        </w:rPr>
        <w:t xml:space="preserve"> </w:t>
      </w:r>
      <w:proofErr w:type="spellStart"/>
      <w:r w:rsidRPr="00A6090E">
        <w:rPr>
          <w:lang w:val="uk-UA"/>
        </w:rPr>
        <w:t>биомаркеров</w:t>
      </w:r>
      <w:proofErr w:type="spellEnd"/>
      <w:r w:rsidRPr="00A6090E">
        <w:rPr>
          <w:lang w:val="uk-UA"/>
        </w:rPr>
        <w:t xml:space="preserve"> </w:t>
      </w:r>
      <w:r w:rsidRPr="00A6090E">
        <w:rPr>
          <w:bCs/>
        </w:rPr>
        <w:t>повышенная концентрация альдостерона крови ассоциировалась с достоверным (</w:t>
      </w:r>
      <w:proofErr w:type="spellStart"/>
      <w:proofErr w:type="gramStart"/>
      <w:r w:rsidRPr="00A6090E">
        <w:rPr>
          <w:bCs/>
        </w:rPr>
        <w:t>р</w:t>
      </w:r>
      <w:proofErr w:type="spellEnd"/>
      <w:proofErr w:type="gramEnd"/>
      <w:r w:rsidRPr="00A6090E">
        <w:rPr>
          <w:bCs/>
        </w:rPr>
        <w:t xml:space="preserve">&lt;0,05) возрастанием риска госпитализации по поводу декомпенсации ХСН (скорректированное отношение шансов (ОШ) </w:t>
      </w:r>
      <w:r w:rsidRPr="00A6090E">
        <w:rPr>
          <w:lang w:val="uk-UA" w:eastAsia="ar-SA"/>
        </w:rPr>
        <w:t xml:space="preserve">2,14, </w:t>
      </w:r>
      <w:r w:rsidRPr="00A6090E">
        <w:rPr>
          <w:bCs/>
        </w:rPr>
        <w:t xml:space="preserve">95% доверительный интервал (ДИ)  </w:t>
      </w:r>
      <w:r w:rsidRPr="00A6090E">
        <w:rPr>
          <w:lang w:eastAsia="ar-SA"/>
        </w:rPr>
        <w:t xml:space="preserve">1,34-9,68), </w:t>
      </w:r>
      <w:r w:rsidRPr="00A6090E">
        <w:rPr>
          <w:bCs/>
        </w:rPr>
        <w:t xml:space="preserve">смерти от всех причин (ОШ 1,64; 95% ДИ </w:t>
      </w:r>
      <w:r w:rsidRPr="00A6090E">
        <w:rPr>
          <w:lang w:eastAsia="ar-SA"/>
        </w:rPr>
        <w:t>1,23-7,65</w:t>
      </w:r>
      <w:r w:rsidRPr="00A6090E">
        <w:rPr>
          <w:bCs/>
        </w:rPr>
        <w:t xml:space="preserve">, P = 0,033) и смерти от ХСН (ОШ 1,56; </w:t>
      </w:r>
      <w:proofErr w:type="gramStart"/>
      <w:r w:rsidRPr="00A6090E">
        <w:rPr>
          <w:bCs/>
        </w:rPr>
        <w:t xml:space="preserve">95% ДИ </w:t>
      </w:r>
      <w:r w:rsidRPr="00A6090E">
        <w:rPr>
          <w:bCs/>
          <w:lang w:eastAsia="ar-SA"/>
        </w:rPr>
        <w:t>1,14-11,3,</w:t>
      </w:r>
      <w:r w:rsidRPr="00A6090E">
        <w:rPr>
          <w:bCs/>
        </w:rPr>
        <w:t xml:space="preserve"> P = 0,021). </w:t>
      </w:r>
      <w:proofErr w:type="gramEnd"/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both"/>
      </w:pPr>
      <w:r w:rsidRPr="00A6090E">
        <w:rPr>
          <w:rStyle w:val="apple-converted-space"/>
          <w:b/>
          <w:color w:val="000000"/>
          <w:shd w:val="clear" w:color="auto" w:fill="FFFFFF"/>
        </w:rPr>
        <w:lastRenderedPageBreak/>
        <w:t>Вывод.</w:t>
      </w:r>
      <w:r w:rsidRPr="00A6090E">
        <w:rPr>
          <w:rStyle w:val="apple-converted-space"/>
          <w:color w:val="000000"/>
          <w:shd w:val="clear" w:color="auto" w:fill="FFFFFF"/>
        </w:rPr>
        <w:t xml:space="preserve"> </w:t>
      </w:r>
      <w:r w:rsidRPr="00A6090E">
        <w:rPr>
          <w:shd w:val="clear" w:color="auto" w:fill="FFFFFF"/>
        </w:rPr>
        <w:t xml:space="preserve">У больных </w:t>
      </w:r>
      <w:proofErr w:type="spellStart"/>
      <w:r w:rsidRPr="00A6090E">
        <w:rPr>
          <w:shd w:val="clear" w:color="auto" w:fill="FFFFFF"/>
        </w:rPr>
        <w:t>ХСНс</w:t>
      </w:r>
      <w:r w:rsidRPr="00A6090E">
        <w:rPr>
          <w:rStyle w:val="hps"/>
        </w:rPr>
        <w:t>ФВ</w:t>
      </w:r>
      <w:proofErr w:type="spellEnd"/>
      <w:r w:rsidRPr="00A6090E">
        <w:rPr>
          <w:rStyle w:val="hps"/>
        </w:rPr>
        <w:t xml:space="preserve"> наличие </w:t>
      </w:r>
      <w:proofErr w:type="gramStart"/>
      <w:r w:rsidRPr="00A6090E">
        <w:rPr>
          <w:rStyle w:val="hps"/>
        </w:rPr>
        <w:t>вторичного</w:t>
      </w:r>
      <w:proofErr w:type="gramEnd"/>
      <w:r w:rsidRPr="00A6090E">
        <w:rPr>
          <w:rStyle w:val="hps"/>
        </w:rPr>
        <w:t xml:space="preserve"> </w:t>
      </w:r>
      <w:proofErr w:type="spellStart"/>
      <w:r w:rsidRPr="00A6090E">
        <w:rPr>
          <w:rStyle w:val="hps"/>
        </w:rPr>
        <w:t>гиперальдостеронизма</w:t>
      </w:r>
      <w:proofErr w:type="spellEnd"/>
      <w:r w:rsidRPr="00A6090E">
        <w:rPr>
          <w:rStyle w:val="hps"/>
        </w:rPr>
        <w:t xml:space="preserve"> </w:t>
      </w:r>
      <w:r w:rsidRPr="00A6090E">
        <w:rPr>
          <w:bCs/>
        </w:rPr>
        <w:t xml:space="preserve">является независимым предиктором госпитализации по поводу ХСН, общей смерти и смерти от ХСН. </w:t>
      </w:r>
      <w:r w:rsidRPr="00A6090E">
        <w:t>Проведенное исследование дает основание полагать, что добавление альдостерона в существующие модели прогнозирования ХСН поможет улучшить их предсказательную ценность и оптимизировать медикаментозную терапию у пациентов высокого риска.</w:t>
      </w:r>
    </w:p>
    <w:p w:rsidR="00B73C85" w:rsidRPr="00A6090E" w:rsidRDefault="00B73C85" w:rsidP="00B73C85">
      <w:pPr>
        <w:spacing w:line="360" w:lineRule="auto"/>
        <w:ind w:firstLine="708"/>
        <w:contextualSpacing/>
        <w:jc w:val="both"/>
        <w:rPr>
          <w:rFonts w:eastAsia="Calibri"/>
          <w:lang w:eastAsia="ar-SA"/>
        </w:rPr>
      </w:pPr>
      <w:r w:rsidRPr="00A6090E">
        <w:rPr>
          <w:rFonts w:eastAsia="Calibri"/>
          <w:i/>
          <w:shd w:val="clear" w:color="auto" w:fill="FFFFFF"/>
        </w:rPr>
        <w:t>Ключевые слова:</w:t>
      </w:r>
      <w:r w:rsidRPr="00A6090E">
        <w:rPr>
          <w:rFonts w:eastAsia="Calibri"/>
          <w:shd w:val="clear" w:color="auto" w:fill="FFFFFF"/>
        </w:rPr>
        <w:t xml:space="preserve"> альдостерон, вторичный </w:t>
      </w:r>
      <w:proofErr w:type="spellStart"/>
      <w:r w:rsidRPr="00A6090E">
        <w:rPr>
          <w:rFonts w:eastAsia="Calibri"/>
          <w:shd w:val="clear" w:color="auto" w:fill="FFFFFF"/>
        </w:rPr>
        <w:t>гиперальдостеронизм</w:t>
      </w:r>
      <w:proofErr w:type="spellEnd"/>
      <w:r w:rsidRPr="00A6090E">
        <w:rPr>
          <w:rFonts w:eastAsia="Calibri"/>
          <w:shd w:val="clear" w:color="auto" w:fill="FFFFFF"/>
        </w:rPr>
        <w:t xml:space="preserve">, хроническая сердечная недостаточность, сохраненная фракция выброса, </w:t>
      </w:r>
      <w:r w:rsidRPr="00A6090E">
        <w:rPr>
          <w:shd w:val="clear" w:color="auto" w:fill="FFFFFF"/>
        </w:rPr>
        <w:t>прогноз,</w:t>
      </w:r>
      <w:r w:rsidRPr="00A6090E">
        <w:rPr>
          <w:rFonts w:eastAsia="Calibri"/>
          <w:shd w:val="clear" w:color="auto" w:fill="FFFFFF"/>
        </w:rPr>
        <w:t xml:space="preserve"> смерт</w:t>
      </w:r>
      <w:r w:rsidRPr="00A6090E">
        <w:rPr>
          <w:shd w:val="clear" w:color="auto" w:fill="FFFFFF"/>
        </w:rPr>
        <w:t>ност</w:t>
      </w:r>
      <w:r w:rsidRPr="00A6090E">
        <w:rPr>
          <w:rFonts w:eastAsia="Calibri"/>
          <w:shd w:val="clear" w:color="auto" w:fill="FFFFFF"/>
        </w:rPr>
        <w:t>ь</w:t>
      </w:r>
      <w:r w:rsidRPr="00A6090E">
        <w:rPr>
          <w:shd w:val="clear" w:color="auto" w:fill="FFFFFF"/>
        </w:rPr>
        <w:t>, госпитализации</w:t>
      </w:r>
      <w:r w:rsidRPr="00A6090E">
        <w:rPr>
          <w:rFonts w:eastAsia="Calibri"/>
          <w:shd w:val="clear" w:color="auto" w:fill="FFFFFF"/>
        </w:rPr>
        <w:t>.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both"/>
      </w:pPr>
      <w:r w:rsidRPr="00A6090E">
        <w:rPr>
          <w:i/>
        </w:rPr>
        <w:t>Контактное лицо:</w:t>
      </w:r>
      <w:r w:rsidRPr="00A6090E">
        <w:t xml:space="preserve"> 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center"/>
        <w:rPr>
          <w:b/>
          <w:lang w:val="en-US"/>
        </w:rPr>
      </w:pPr>
      <w:r w:rsidRPr="00A6090E">
        <w:rPr>
          <w:b/>
          <w:lang w:val="en-US"/>
        </w:rPr>
        <w:t xml:space="preserve">Prognostic value of secondary </w:t>
      </w:r>
      <w:proofErr w:type="spellStart"/>
      <w:r w:rsidRPr="00A6090E">
        <w:rPr>
          <w:b/>
          <w:lang w:val="en-US"/>
        </w:rPr>
        <w:t>hyperaldosteronism</w:t>
      </w:r>
      <w:proofErr w:type="spellEnd"/>
      <w:r w:rsidRPr="00A6090E">
        <w:rPr>
          <w:b/>
          <w:lang w:val="en-US"/>
        </w:rPr>
        <w:t xml:space="preserve"> 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center"/>
        <w:rPr>
          <w:b/>
          <w:lang w:val="en-US"/>
        </w:rPr>
      </w:pPr>
      <w:proofErr w:type="gramStart"/>
      <w:r w:rsidRPr="00A6090E">
        <w:rPr>
          <w:b/>
          <w:lang w:val="en-US"/>
        </w:rPr>
        <w:t>in</w:t>
      </w:r>
      <w:proofErr w:type="gramEnd"/>
      <w:r w:rsidRPr="00A6090E">
        <w:rPr>
          <w:b/>
          <w:lang w:val="en-US"/>
        </w:rPr>
        <w:t xml:space="preserve"> chronic heart failure with preserved ejection fraction</w:t>
      </w:r>
    </w:p>
    <w:p w:rsidR="00B73C85" w:rsidRPr="00A6090E" w:rsidRDefault="00B73C85" w:rsidP="00B73C85">
      <w:pPr>
        <w:spacing w:line="360" w:lineRule="auto"/>
        <w:contextualSpacing/>
        <w:jc w:val="both"/>
        <w:rPr>
          <w:bCs/>
          <w:lang w:val="en-US"/>
        </w:rPr>
      </w:pPr>
      <w:r w:rsidRPr="00A6090E">
        <w:rPr>
          <w:b/>
          <w:color w:val="000000"/>
          <w:lang w:val="en-US"/>
        </w:rPr>
        <w:t>Purpose:</w:t>
      </w:r>
      <w:r w:rsidRPr="00A6090E">
        <w:rPr>
          <w:color w:val="000000"/>
          <w:lang w:val="en-US"/>
        </w:rPr>
        <w:t xml:space="preserve"> the study aims to investigate </w:t>
      </w:r>
      <w:r w:rsidRPr="00A6090E">
        <w:rPr>
          <w:lang w:val="en-US"/>
        </w:rPr>
        <w:t xml:space="preserve">the prognostic value of secondary </w:t>
      </w:r>
      <w:proofErr w:type="spellStart"/>
      <w:r w:rsidRPr="00A6090E">
        <w:rPr>
          <w:lang w:val="en-US"/>
        </w:rPr>
        <w:t>hyperaldosteronism</w:t>
      </w:r>
      <w:proofErr w:type="spellEnd"/>
      <w:r w:rsidRPr="00A6090E">
        <w:rPr>
          <w:lang w:val="en-US"/>
        </w:rPr>
        <w:t xml:space="preserve"> in heart failure </w:t>
      </w:r>
      <w:r w:rsidRPr="00A6090E">
        <w:rPr>
          <w:rStyle w:val="hps"/>
          <w:lang w:val="en-US"/>
        </w:rPr>
        <w:t>with preserved</w:t>
      </w:r>
      <w:r w:rsidRPr="00A6090E">
        <w:rPr>
          <w:lang w:val="en-US"/>
        </w:rPr>
        <w:t xml:space="preserve"> ejection fraction (</w:t>
      </w:r>
      <w:proofErr w:type="spellStart"/>
      <w:r w:rsidRPr="00A6090E">
        <w:rPr>
          <w:lang w:val="en-US"/>
        </w:rPr>
        <w:t>HFpEF</w:t>
      </w:r>
      <w:proofErr w:type="spellEnd"/>
      <w:r w:rsidRPr="00A6090E">
        <w:rPr>
          <w:lang w:val="en-US"/>
        </w:rPr>
        <w:t>).</w:t>
      </w:r>
    </w:p>
    <w:p w:rsidR="00B73C85" w:rsidRPr="00A6090E" w:rsidRDefault="00B73C85" w:rsidP="00B73C85">
      <w:pPr>
        <w:spacing w:line="360" w:lineRule="auto"/>
        <w:contextualSpacing/>
        <w:jc w:val="both"/>
        <w:rPr>
          <w:lang w:val="en-US"/>
        </w:rPr>
      </w:pPr>
      <w:r w:rsidRPr="00A6090E">
        <w:rPr>
          <w:b/>
          <w:bCs/>
          <w:caps/>
          <w:color w:val="000000"/>
          <w:lang w:val="en-US"/>
        </w:rPr>
        <w:t>M</w:t>
      </w:r>
      <w:r w:rsidRPr="00A6090E">
        <w:rPr>
          <w:b/>
          <w:bCs/>
          <w:color w:val="000000"/>
          <w:lang w:val="en-US"/>
        </w:rPr>
        <w:t>ethods</w:t>
      </w:r>
      <w:r w:rsidRPr="00A6090E">
        <w:rPr>
          <w:b/>
          <w:bCs/>
          <w:caps/>
          <w:color w:val="000000"/>
          <w:lang w:val="en-US"/>
        </w:rPr>
        <w:t>:</w:t>
      </w:r>
      <w:r w:rsidRPr="00A6090E">
        <w:rPr>
          <w:bCs/>
          <w:caps/>
          <w:color w:val="000000"/>
          <w:lang w:val="en-US"/>
        </w:rPr>
        <w:t xml:space="preserve"> </w:t>
      </w:r>
      <w:r w:rsidRPr="00A6090E">
        <w:rPr>
          <w:color w:val="000000"/>
          <w:lang w:val="en-US"/>
        </w:rPr>
        <w:t xml:space="preserve">The study included 158 patients </w:t>
      </w:r>
      <w:r w:rsidRPr="00A6090E">
        <w:rPr>
          <w:rStyle w:val="hps"/>
          <w:lang w:val="en-US"/>
        </w:rPr>
        <w:t>(58</w:t>
      </w:r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>men and</w:t>
      </w:r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>100</w:t>
      </w:r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>women</w:t>
      </w:r>
      <w:r w:rsidRPr="00A6090E">
        <w:rPr>
          <w:lang w:val="en-US"/>
        </w:rPr>
        <w:t>, mean age 62.3</w:t>
      </w:r>
      <w:r w:rsidRPr="00A6090E">
        <w:rPr>
          <w:rStyle w:val="hps"/>
          <w:lang w:val="en-US"/>
        </w:rPr>
        <w:t>±7.4</w:t>
      </w:r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>years</w:t>
      </w:r>
      <w:r w:rsidRPr="00A6090E">
        <w:rPr>
          <w:lang w:val="en-US"/>
        </w:rPr>
        <w:t xml:space="preserve">) </w:t>
      </w:r>
      <w:r w:rsidRPr="00A6090E">
        <w:rPr>
          <w:rStyle w:val="hps"/>
          <w:lang w:val="en-US"/>
        </w:rPr>
        <w:t>with</w:t>
      </w:r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 xml:space="preserve">stable coronary arterial disease, arterial hypertension </w:t>
      </w:r>
      <w:r w:rsidRPr="00A6090E">
        <w:rPr>
          <w:lang w:val="en-US"/>
        </w:rPr>
        <w:t xml:space="preserve">and </w:t>
      </w:r>
      <w:proofErr w:type="spellStart"/>
      <w:r w:rsidRPr="00A6090E">
        <w:rPr>
          <w:rStyle w:val="hps"/>
          <w:lang w:val="en-US"/>
        </w:rPr>
        <w:t>HFpEF</w:t>
      </w:r>
      <w:proofErr w:type="spellEnd"/>
      <w:r w:rsidRPr="00A6090E">
        <w:rPr>
          <w:lang w:val="en-US"/>
        </w:rPr>
        <w:t xml:space="preserve"> </w:t>
      </w:r>
      <w:r w:rsidRPr="00A6090E">
        <w:rPr>
          <w:rStyle w:val="hps"/>
          <w:lang w:val="en-US"/>
        </w:rPr>
        <w:t xml:space="preserve">( </w:t>
      </w:r>
      <w:r w:rsidRPr="00A6090E">
        <w:rPr>
          <w:lang w:val="en-US"/>
        </w:rPr>
        <w:t xml:space="preserve">&gt; </w:t>
      </w:r>
      <w:r w:rsidRPr="00A6090E">
        <w:rPr>
          <w:rStyle w:val="hps"/>
          <w:lang w:val="en-US"/>
        </w:rPr>
        <w:t>50</w:t>
      </w:r>
      <w:r w:rsidRPr="00A6090E">
        <w:rPr>
          <w:lang w:val="en-US"/>
        </w:rPr>
        <w:t>%). All patients had diastolic dysfunction and elevated NT-</w:t>
      </w:r>
      <w:proofErr w:type="spellStart"/>
      <w:r w:rsidRPr="00A6090E">
        <w:rPr>
          <w:lang w:val="en-US"/>
        </w:rPr>
        <w:t>proBNP</w:t>
      </w:r>
      <w:proofErr w:type="spellEnd"/>
      <w:r w:rsidRPr="00A6090E">
        <w:rPr>
          <w:lang w:val="en-US"/>
        </w:rPr>
        <w:t xml:space="preserve"> level and history of hospitalization due to HF during the last 12 months</w:t>
      </w:r>
      <w:proofErr w:type="gramStart"/>
      <w:r w:rsidRPr="00A6090E">
        <w:rPr>
          <w:lang w:val="en-US"/>
        </w:rPr>
        <w:t>,.</w:t>
      </w:r>
      <w:proofErr w:type="gramEnd"/>
      <w:r w:rsidRPr="00A6090E">
        <w:rPr>
          <w:lang w:val="en-US"/>
        </w:rPr>
        <w:t xml:space="preserve"> Blood </w:t>
      </w:r>
      <w:proofErr w:type="spellStart"/>
      <w:r w:rsidRPr="00A6090E">
        <w:rPr>
          <w:lang w:val="en-US"/>
        </w:rPr>
        <w:t>aldosterone</w:t>
      </w:r>
      <w:proofErr w:type="spellEnd"/>
      <w:r w:rsidRPr="00A6090E">
        <w:rPr>
          <w:lang w:val="en-US"/>
        </w:rPr>
        <w:t xml:space="preserve"> levels were determined at baseline in all patients. </w:t>
      </w:r>
      <w:proofErr w:type="spellStart"/>
      <w:r w:rsidRPr="00A6090E">
        <w:rPr>
          <w:lang w:val="en-US"/>
        </w:rPr>
        <w:t>Hyperaldosteronemia</w:t>
      </w:r>
      <w:proofErr w:type="spellEnd"/>
      <w:r w:rsidRPr="00A6090E">
        <w:rPr>
          <w:lang w:val="en-US"/>
        </w:rPr>
        <w:t xml:space="preserve"> was diagnosed when the plasma </w:t>
      </w:r>
      <w:proofErr w:type="spellStart"/>
      <w:r w:rsidRPr="00A6090E">
        <w:rPr>
          <w:lang w:val="en-US"/>
        </w:rPr>
        <w:t>aldosterone</w:t>
      </w:r>
      <w:proofErr w:type="spellEnd"/>
      <w:r w:rsidRPr="00A6090E">
        <w:rPr>
          <w:lang w:val="en-US"/>
        </w:rPr>
        <w:t xml:space="preserve"> level was upper limit (&gt; 160 pg/ml). The primary endpoint was all-cause mortality. Secondary endpoints were hospitalization due to HF, cardiovascular death and non-cardiovascular death.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gramStart"/>
      <w:r w:rsidRPr="00A6090E">
        <w:rPr>
          <w:b/>
          <w:lang w:val="en-US"/>
        </w:rPr>
        <w:t>Results.</w:t>
      </w:r>
      <w:proofErr w:type="gramEnd"/>
      <w:r w:rsidRPr="00A6090E">
        <w:rPr>
          <w:lang w:val="en-US"/>
        </w:rPr>
        <w:t xml:space="preserve"> At baseline </w:t>
      </w:r>
      <w:proofErr w:type="spellStart"/>
      <w:r w:rsidRPr="00A6090E">
        <w:rPr>
          <w:lang w:val="en-US"/>
        </w:rPr>
        <w:t>hyperaldosteronemia</w:t>
      </w:r>
      <w:proofErr w:type="spellEnd"/>
      <w:r w:rsidRPr="00A6090E">
        <w:rPr>
          <w:lang w:val="en-US"/>
        </w:rPr>
        <w:t xml:space="preserve"> was detected in 59 of 158 patients (37.3%, 95% CI: 30.0-45.0%). </w:t>
      </w:r>
      <w:proofErr w:type="spellStart"/>
      <w:r w:rsidRPr="00A6090E">
        <w:rPr>
          <w:lang w:val="en-US"/>
        </w:rPr>
        <w:t>Hyperaldosteronemic</w:t>
      </w:r>
      <w:proofErr w:type="spellEnd"/>
      <w:r w:rsidRPr="00A6090E">
        <w:rPr>
          <w:lang w:val="en-US"/>
        </w:rPr>
        <w:t xml:space="preserve"> patients were younger, 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higher NYHA </w:t>
      </w:r>
      <w:r w:rsidRPr="00A6090E">
        <w:rPr>
          <w:color w:val="000000"/>
          <w:shd w:val="clear" w:color="auto" w:fill="FFFFFF"/>
          <w:lang w:val="en-US"/>
        </w:rPr>
        <w:t>class and</w:t>
      </w:r>
      <w:r w:rsidRPr="00A6090E">
        <w:rPr>
          <w:lang w:val="en-US"/>
        </w:rPr>
        <w:t xml:space="preserve"> </w:t>
      </w:r>
      <w:r w:rsidRPr="00A6090E">
        <w:rPr>
          <w:rFonts w:eastAsia="Calibri"/>
          <w:lang w:val="en-US"/>
        </w:rPr>
        <w:t>NT-</w:t>
      </w:r>
      <w:proofErr w:type="spellStart"/>
      <w:r w:rsidRPr="00A6090E">
        <w:rPr>
          <w:rFonts w:eastAsia="Calibri"/>
          <w:lang w:val="en-US"/>
        </w:rPr>
        <w:t>proBNP</w:t>
      </w:r>
      <w:proofErr w:type="spellEnd"/>
      <w:r w:rsidRPr="00A6090E">
        <w:rPr>
          <w:rFonts w:eastAsia="Calibri"/>
          <w:lang w:val="en-US"/>
        </w:rPr>
        <w:t xml:space="preserve"> level,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 more often had </w:t>
      </w:r>
      <w:proofErr w:type="spellStart"/>
      <w:r w:rsidRPr="00A6090E">
        <w:rPr>
          <w:rFonts w:eastAsia="Calibri"/>
          <w:color w:val="000000"/>
          <w:shd w:val="clear" w:color="auto" w:fill="FFFFFF"/>
          <w:lang w:val="en-US"/>
        </w:rPr>
        <w:t>comorbidity</w:t>
      </w:r>
      <w:proofErr w:type="spellEnd"/>
      <w:r w:rsidRPr="00A6090E">
        <w:rPr>
          <w:rFonts w:eastAsia="Calibri"/>
          <w:color w:val="000000"/>
          <w:shd w:val="clear" w:color="auto" w:fill="FFFFFF"/>
          <w:lang w:val="en-US"/>
        </w:rPr>
        <w:t xml:space="preserve"> compared to patients</w:t>
      </w:r>
      <w:r w:rsidRPr="00A6090E">
        <w:rPr>
          <w:color w:val="000000"/>
          <w:shd w:val="clear" w:color="auto" w:fill="FFFFFF"/>
          <w:lang w:val="en-US"/>
        </w:rPr>
        <w:t xml:space="preserve"> with normal </w:t>
      </w:r>
      <w:proofErr w:type="spellStart"/>
      <w:r w:rsidRPr="00A6090E">
        <w:rPr>
          <w:color w:val="000000"/>
          <w:shd w:val="clear" w:color="auto" w:fill="FFFFFF"/>
          <w:lang w:val="en-US"/>
        </w:rPr>
        <w:t>aldosterone</w:t>
      </w:r>
      <w:proofErr w:type="spellEnd"/>
      <w:r w:rsidRPr="00A6090E">
        <w:rPr>
          <w:color w:val="000000"/>
          <w:shd w:val="clear" w:color="auto" w:fill="FFFFFF"/>
          <w:lang w:val="en-US"/>
        </w:rPr>
        <w:t xml:space="preserve"> level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 (all </w:t>
      </w:r>
      <w:r w:rsidRPr="00A6090E">
        <w:rPr>
          <w:rFonts w:eastAsia="Calibri"/>
          <w:i/>
          <w:color w:val="000000"/>
          <w:shd w:val="clear" w:color="auto" w:fill="FFFFFF"/>
          <w:lang w:val="en-US"/>
        </w:rPr>
        <w:t xml:space="preserve">Ps </w:t>
      </w:r>
      <w:r w:rsidRPr="00A6090E">
        <w:rPr>
          <w:color w:val="000000"/>
          <w:shd w:val="clear" w:color="auto" w:fill="FFFFFF"/>
          <w:lang w:val="en-US"/>
        </w:rPr>
        <w:t>&lt;0.05</w:t>
      </w:r>
      <w:r w:rsidRPr="00A6090E">
        <w:rPr>
          <w:rFonts w:eastAsia="Calibri"/>
          <w:color w:val="000000"/>
          <w:shd w:val="clear" w:color="auto" w:fill="FFFFFF"/>
          <w:lang w:val="en-US"/>
        </w:rPr>
        <w:t>). Over a median follow</w:t>
      </w:r>
      <w:r w:rsidRPr="00A6090E">
        <w:rPr>
          <w:rFonts w:ascii="Calibri" w:eastAsia="Calibri" w:hAnsi="Calibri"/>
          <w:color w:val="000000"/>
          <w:shd w:val="clear" w:color="auto" w:fill="FFFFFF"/>
          <w:lang w:val="en-US"/>
        </w:rPr>
        <w:t>‐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up of </w:t>
      </w:r>
      <w:r w:rsidRPr="00A6090E">
        <w:rPr>
          <w:rFonts w:eastAsia="Calibri"/>
          <w:lang w:val="en-US"/>
        </w:rPr>
        <w:t xml:space="preserve">32 (28-38) </w:t>
      </w:r>
      <w:r w:rsidRPr="00A6090E">
        <w:rPr>
          <w:rFonts w:eastAsia="Calibri"/>
          <w:color w:val="000000"/>
          <w:shd w:val="clear" w:color="auto" w:fill="FFFFFF"/>
          <w:lang w:val="en-US"/>
        </w:rPr>
        <w:t>months</w:t>
      </w:r>
      <w:r w:rsidRPr="00A6090E">
        <w:rPr>
          <w:color w:val="000000"/>
          <w:shd w:val="clear" w:color="auto" w:fill="FFFFFF"/>
          <w:lang w:val="en-US"/>
        </w:rPr>
        <w:t xml:space="preserve"> a total of </w:t>
      </w:r>
      <w:r w:rsidRPr="00A6090E">
        <w:rPr>
          <w:lang w:val="en-US"/>
        </w:rPr>
        <w:t xml:space="preserve">50 (37.6%) patients died. Cardiovascular death was occurred in 32 (20.3%) cases, non-cardiovascular in 18 (11.4%) cases. A total of 65 (41.1%) patients were hospitalized due to HF. After adjusting for age, </w:t>
      </w:r>
      <w:proofErr w:type="spellStart"/>
      <w:r w:rsidRPr="00A6090E">
        <w:rPr>
          <w:lang w:val="en-US"/>
        </w:rPr>
        <w:t>comorbidities</w:t>
      </w:r>
      <w:proofErr w:type="spellEnd"/>
      <w:r w:rsidRPr="00A6090E">
        <w:rPr>
          <w:lang w:val="en-US"/>
        </w:rPr>
        <w:t xml:space="preserve">, medical therapy, </w:t>
      </w:r>
      <w:proofErr w:type="spellStart"/>
      <w:r w:rsidRPr="00A6090E">
        <w:rPr>
          <w:lang w:val="en-US"/>
        </w:rPr>
        <w:t>echocardiographic</w:t>
      </w:r>
      <w:proofErr w:type="spellEnd"/>
      <w:r w:rsidRPr="00A6090E">
        <w:rPr>
          <w:lang w:val="en-US"/>
        </w:rPr>
        <w:t xml:space="preserve"> parameters and biomarkers, an high </w:t>
      </w:r>
      <w:proofErr w:type="spellStart"/>
      <w:r w:rsidRPr="00A6090E">
        <w:rPr>
          <w:lang w:val="en-US"/>
        </w:rPr>
        <w:t>aldosterone</w:t>
      </w:r>
      <w:proofErr w:type="spellEnd"/>
      <w:r w:rsidRPr="00A6090E">
        <w:rPr>
          <w:lang w:val="en-US"/>
        </w:rPr>
        <w:t xml:space="preserve"> level was associated with a significant (p &lt;0.05) increase in the risk of hospitalization due to HF (adjusted odds ratio (OR) 2.14, 95% confidence interval (CI) 1.34-9.68), all-cause death (OR 1.64; 95% CI 1.23-7.65, P = 0.033) and HF death (OR 1.56; 95 % CI 1.14-11.3, P = 0.021).</w:t>
      </w:r>
    </w:p>
    <w:p w:rsidR="00B73C85" w:rsidRPr="00A6090E" w:rsidRDefault="00B73C85" w:rsidP="00B73C85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A6090E">
        <w:rPr>
          <w:b/>
          <w:bCs/>
          <w:caps/>
          <w:color w:val="000000"/>
          <w:lang w:val="en-US"/>
        </w:rPr>
        <w:t>C</w:t>
      </w:r>
      <w:r w:rsidRPr="00A6090E">
        <w:rPr>
          <w:b/>
          <w:bCs/>
          <w:color w:val="000000"/>
          <w:lang w:val="en-US"/>
        </w:rPr>
        <w:t>onclusion</w:t>
      </w:r>
      <w:r w:rsidRPr="00A6090E">
        <w:rPr>
          <w:b/>
          <w:bCs/>
          <w:caps/>
          <w:color w:val="000000"/>
          <w:lang w:val="en-US"/>
        </w:rPr>
        <w:t>:</w:t>
      </w:r>
      <w:r w:rsidRPr="00A6090E">
        <w:rPr>
          <w:lang w:val="en-US"/>
        </w:rPr>
        <w:t xml:space="preserve"> In </w:t>
      </w:r>
      <w:proofErr w:type="spellStart"/>
      <w:r w:rsidRPr="00A6090E">
        <w:rPr>
          <w:lang w:val="en-US"/>
        </w:rPr>
        <w:t>HFpEF</w:t>
      </w:r>
      <w:proofErr w:type="spellEnd"/>
      <w:r w:rsidRPr="00A6090E">
        <w:rPr>
          <w:lang w:val="en-US"/>
        </w:rPr>
        <w:t xml:space="preserve"> secondary </w:t>
      </w:r>
      <w:proofErr w:type="spellStart"/>
      <w:r w:rsidRPr="00A6090E">
        <w:rPr>
          <w:lang w:val="en-US"/>
        </w:rPr>
        <w:t>hyperaldosteronism</w:t>
      </w:r>
      <w:proofErr w:type="spellEnd"/>
      <w:r w:rsidRPr="00A6090E">
        <w:rPr>
          <w:lang w:val="en-US"/>
        </w:rPr>
        <w:t xml:space="preserve"> is an independent predictor of hospitalization for HF, all-cause and cardiovascular mortality. This study suggests that the addition of plasma </w:t>
      </w:r>
      <w:proofErr w:type="spellStart"/>
      <w:r w:rsidRPr="00A6090E">
        <w:rPr>
          <w:lang w:val="en-US"/>
        </w:rPr>
        <w:t>aldosterone</w:t>
      </w:r>
      <w:proofErr w:type="spellEnd"/>
      <w:r w:rsidRPr="00A6090E">
        <w:rPr>
          <w:lang w:val="en-US"/>
        </w:rPr>
        <w:t xml:space="preserve"> level to the existing prognosis models of </w:t>
      </w:r>
      <w:proofErr w:type="spellStart"/>
      <w:r w:rsidRPr="00A6090E">
        <w:rPr>
          <w:lang w:val="en-US"/>
        </w:rPr>
        <w:t>HFpEF</w:t>
      </w:r>
      <w:proofErr w:type="spellEnd"/>
      <w:r w:rsidRPr="00A6090E">
        <w:rPr>
          <w:lang w:val="en-US"/>
        </w:rPr>
        <w:t xml:space="preserve"> will help improve their predictive value and optimize treatment in high risk patients.</w:t>
      </w:r>
    </w:p>
    <w:p w:rsidR="00B73C85" w:rsidRPr="00A6090E" w:rsidRDefault="00B73C85" w:rsidP="00B73C85">
      <w:pPr>
        <w:spacing w:line="360" w:lineRule="auto"/>
        <w:ind w:firstLine="708"/>
        <w:jc w:val="both"/>
        <w:rPr>
          <w:rFonts w:eastAsia="Calibri"/>
          <w:color w:val="000000"/>
          <w:shd w:val="clear" w:color="auto" w:fill="FFFFFF"/>
          <w:lang w:val="en-US"/>
        </w:rPr>
      </w:pPr>
      <w:r w:rsidRPr="00A6090E">
        <w:rPr>
          <w:rFonts w:eastAsia="Calibri"/>
          <w:i/>
          <w:color w:val="000000"/>
          <w:shd w:val="clear" w:color="auto" w:fill="FFFFFF"/>
          <w:lang w:val="en-US"/>
        </w:rPr>
        <w:lastRenderedPageBreak/>
        <w:t>Key words: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A6090E">
        <w:rPr>
          <w:rFonts w:eastAsia="Calibri"/>
          <w:color w:val="000000"/>
          <w:shd w:val="clear" w:color="auto" w:fill="FFFFFF"/>
          <w:lang w:val="en-US"/>
        </w:rPr>
        <w:t>aldosterone</w:t>
      </w:r>
      <w:proofErr w:type="spellEnd"/>
      <w:r w:rsidRPr="00A6090E">
        <w:rPr>
          <w:rFonts w:eastAsia="Calibri"/>
          <w:color w:val="000000"/>
          <w:shd w:val="clear" w:color="auto" w:fill="FFFFFF"/>
          <w:lang w:val="en-US"/>
        </w:rPr>
        <w:t xml:space="preserve">, secondary </w:t>
      </w:r>
      <w:proofErr w:type="spellStart"/>
      <w:r w:rsidRPr="00A6090E">
        <w:rPr>
          <w:rFonts w:eastAsia="Calibri"/>
          <w:color w:val="000000"/>
          <w:shd w:val="clear" w:color="auto" w:fill="FFFFFF"/>
          <w:lang w:val="en-US"/>
        </w:rPr>
        <w:t>hyperaldosteronisn</w:t>
      </w:r>
      <w:proofErr w:type="spellEnd"/>
      <w:r w:rsidRPr="00A6090E">
        <w:rPr>
          <w:rFonts w:eastAsia="Calibri"/>
          <w:color w:val="000000"/>
          <w:shd w:val="clear" w:color="auto" w:fill="FFFFFF"/>
          <w:lang w:val="en-US"/>
        </w:rPr>
        <w:t xml:space="preserve">, heart failure, preserved ejection fraction, </w:t>
      </w:r>
      <w:r w:rsidRPr="00A6090E">
        <w:rPr>
          <w:color w:val="000000"/>
          <w:shd w:val="clear" w:color="auto" w:fill="FFFFFF"/>
          <w:lang w:val="en-US"/>
        </w:rPr>
        <w:t>prognosis,</w:t>
      </w:r>
      <w:r w:rsidRPr="00A6090E">
        <w:rPr>
          <w:rFonts w:eastAsia="Calibri"/>
          <w:color w:val="000000"/>
          <w:shd w:val="clear" w:color="auto" w:fill="FFFFFF"/>
          <w:lang w:val="en-US"/>
        </w:rPr>
        <w:t xml:space="preserve"> </w:t>
      </w:r>
      <w:r w:rsidRPr="00A6090E">
        <w:rPr>
          <w:color w:val="000000"/>
          <w:shd w:val="clear" w:color="auto" w:fill="FFFFFF"/>
          <w:lang w:val="en-US"/>
        </w:rPr>
        <w:t>mortality, hospitalization</w:t>
      </w:r>
      <w:r w:rsidRPr="00A6090E">
        <w:rPr>
          <w:rFonts w:eastAsia="Calibri"/>
          <w:color w:val="000000"/>
          <w:shd w:val="clear" w:color="auto" w:fill="FFFFFF"/>
          <w:lang w:val="en-US"/>
        </w:rPr>
        <w:t>.</w:t>
      </w:r>
    </w:p>
    <w:p w:rsidR="00366BAA" w:rsidRPr="00A6090E" w:rsidRDefault="00366BAA" w:rsidP="00B73C85">
      <w:pPr>
        <w:spacing w:line="360" w:lineRule="auto"/>
        <w:ind w:firstLine="708"/>
        <w:contextualSpacing/>
        <w:jc w:val="both"/>
        <w:rPr>
          <w:lang w:val="en-US"/>
        </w:rPr>
      </w:pPr>
      <w:r w:rsidRPr="00A6090E">
        <w:rPr>
          <w:i/>
          <w:lang w:val="en-US"/>
        </w:rPr>
        <w:t>Corresponding author:</w:t>
      </w:r>
      <w:r w:rsidRPr="00A6090E">
        <w:rPr>
          <w:lang w:val="en-US"/>
        </w:rPr>
        <w:t xml:space="preserve"> </w:t>
      </w:r>
    </w:p>
    <w:p w:rsidR="00DA1E15" w:rsidRPr="00A6090E" w:rsidRDefault="00DA1E15" w:rsidP="00366BAA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</w:p>
    <w:p w:rsidR="00DA1E15" w:rsidRPr="00A6090E" w:rsidRDefault="00DA1E15" w:rsidP="00366BAA">
      <w:pPr>
        <w:spacing w:line="360" w:lineRule="auto"/>
        <w:contextualSpacing/>
        <w:jc w:val="both"/>
        <w:rPr>
          <w:lang w:val="en-US"/>
        </w:rPr>
      </w:pPr>
    </w:p>
    <w:sectPr w:rsidR="00DA1E15" w:rsidRPr="00A6090E" w:rsidSect="0045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E15"/>
    <w:rsid w:val="00002893"/>
    <w:rsid w:val="00326529"/>
    <w:rsid w:val="0036153C"/>
    <w:rsid w:val="00366BAA"/>
    <w:rsid w:val="003B7D8D"/>
    <w:rsid w:val="00453862"/>
    <w:rsid w:val="005C2B08"/>
    <w:rsid w:val="00A6090E"/>
    <w:rsid w:val="00AB2804"/>
    <w:rsid w:val="00B73C85"/>
    <w:rsid w:val="00B94631"/>
    <w:rsid w:val="00BE6077"/>
    <w:rsid w:val="00C168D6"/>
    <w:rsid w:val="00DA1E15"/>
    <w:rsid w:val="00E967C4"/>
    <w:rsid w:val="00F07DD6"/>
    <w:rsid w:val="00F1323A"/>
    <w:rsid w:val="00F1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A1E15"/>
  </w:style>
  <w:style w:type="character" w:customStyle="1" w:styleId="highlight">
    <w:name w:val="highlight"/>
    <w:basedOn w:val="a0"/>
    <w:rsid w:val="00DA1E15"/>
  </w:style>
  <w:style w:type="character" w:customStyle="1" w:styleId="apple-converted-space">
    <w:name w:val="apple-converted-space"/>
    <w:basedOn w:val="a0"/>
    <w:rsid w:val="00DA1E15"/>
  </w:style>
  <w:style w:type="character" w:styleId="a3">
    <w:name w:val="Hyperlink"/>
    <w:uiPriority w:val="99"/>
    <w:rsid w:val="00DA1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4703</dc:creator>
  <cp:keywords/>
  <dc:description/>
  <cp:lastModifiedBy>4703</cp:lastModifiedBy>
  <cp:revision>8</cp:revision>
  <dcterms:created xsi:type="dcterms:W3CDTF">2020-07-08T07:21:00Z</dcterms:created>
  <dcterms:modified xsi:type="dcterms:W3CDTF">2021-04-27T06:59:00Z</dcterms:modified>
</cp:coreProperties>
</file>